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8"/>
          <w:szCs w:val="28"/>
          <w:rtl w:val="0"/>
        </w:rPr>
        <w:t xml:space="preserve">Proyecto Huerta Biointensiva en el resguardo Kokonuko, Cauca</w:t>
      </w:r>
    </w:p>
    <w:p w:rsidR="00000000" w:rsidDel="00000000" w:rsidP="00000000" w:rsidRDefault="00000000" w:rsidRPr="00000000">
      <w:pPr>
        <w:contextualSpacing w:val="0"/>
      </w:pPr>
      <w:r w:rsidDel="00000000" w:rsidR="00000000" w:rsidRPr="00000000">
        <w:rPr>
          <w:rtl w:val="0"/>
        </w:rPr>
        <w:t xml:space="preserve">-Un aporte al ordenamiento y cuidado del territorio desde la Ecología profunda, la Sostenibilidad y la agricultura Biointensiva-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-Documento base de creación colectiva-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Resumen del Proceso de ensoñación del Proyecto hasta el momento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Esta idea surge de una conversación casual entre amigos sobre la situación de precariedad ganadera, erosión de los suelos y disminución de la producción agrícola en el resguardo indígena Kokokonuko, Cauca. Coincidimos en una preocupación compartida por el sentido creciente de desarraigo en la población agrícola rural colombiana, un sentimiento de desarraigo alimentado por el desplazamiento, empobrecimiento de los suelos, violencia sistémica/histórica, desvalorización del trabajo agrícola, agroindustria, minería, cambio climático,etc. Este sentir desarraigado resulta en comunidades heridas y territorios desprotegidos de sus guardianes. En medio de conceptos problemáticos bastos e intangibles, las relaciones de afecto específicas con el territorio Kokonuko (y la vereda pizanrrabo) permitieron a la conversación fluir hacia una lluvia de ideas sobre la  creación de un escenario distinto para esta vereda.  El punto de entrada a esta comunidad son los lazos familiares de Maytik con la familia Avirama que habita en la vereda de Pizanrrabo.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La problemática específica de esta familia, y de las familias del resguardo en general,  es que dependen económicamente de  la ganadería lechera a pequeña escala que  produce remuneraciones bajas, requiere de bastante trabajo  y se expande hacia el territorio del Páramo, atentando contra la riqueza ecológica del Resguardo. Profundizando en esta problemática, se reconoce la insostenibilidad de la ganadería lechera como actividad productiva primaria del resguardo pues incentiva la deforestación y no garantiza la seguridad alimentaria de los habitantes. Distintos testimonios de personas locales afirman que la transición a la ganadería lechera como actividad primaria es relativamente reciente y está motivada por una percepción general de este trabajo como más descansado que el de la agricultura que es tradicionalmente la actividad primaria de la región.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En este momento somos tres parejas que desde la agricultura biointensiva, la ecología profunda, el diseño ecosocial, la ecología humana y el amor por la vida y la tierra queremos unir fuerzas para soñar un aporte colectivo a la transformación de esta problemática particular a Kokonuko y al mismo tiempo relevante a la situación actual de la ruralidad Colombiana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El estado actual del sueño es la construcción en minga pedagógica  de una o dos  huertas biointensivas piloto en la vereda de Pizanrrabo. La idea de estas huertas es ilustrar el potencial de la agricultura biointensiva como actividad productiva  alternativa  a la ganadería lechera evidenciado las ventajas de este tipo de agricultura orgánica (alta productividad en poco espacio, mano de obra reducida, cuidado del suelo, seguridad alimentaria, posible excedente productivo) frente a la agricultura tradicional. En este proceso queremos enfocarnos en el intercambio de saberes entre jóvenes y mayores, con el propósito de involucrar  y motivar a la población joven que ya no quiere sembrar.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Parte de este proceso creativo es ponerlo en conversación con la comunidad para entender cuál es la metodología más apropiada. Queremos tener un primer viaje de investigación y encuentro con la comunidad, para escuchar y tejer todas las voces involucradas.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Fechas tentativas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Reunion de Planeacion del primer viaje: Mediados de marzo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Primer viaje: Finales de Marzo/Principios de Abril</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Segundo viaje: A partir de Agosto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Contexto histórico del resguardo Kokonuko y datos de la producción agrícola actual *Maytik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Propuesta tentativa de huerta Biointensiva con datos precisos de costos, tiempo y energía necesaria *Mateo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Ideas de metodología participativa para incentivar la agricultura en los jóvenes locales *Pipe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Profundización en alternativas de ganadería ecológica y sostenible *Sebastian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Referentes de procesos interesantes en la región *Marin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Costos tentativos del proyecto * Mayu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Ideas  de posibles fuentes de financiación * Todos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Fondo de la embajada Alemana para microproyectos de acción a corto plazo (Fecha limite: 15 de marzo) </w:t>
      </w:r>
      <w:hyperlink r:id="rId5">
        <w:r w:rsidDel="00000000" w:rsidR="00000000" w:rsidRPr="00000000">
          <w:rPr>
            <w:rFonts w:ascii="Calibri" w:cs="Calibri" w:eastAsia="Calibri" w:hAnsi="Calibri"/>
            <w:color w:val="1155cc"/>
            <w:u w:val="single"/>
            <w:rtl w:val="0"/>
          </w:rPr>
          <w:t xml:space="preserve">http://www.bogota.diplo.de/contentblob/1720444/Daten/6199323/downlInformacionMicroproyectos.pdf</w:t>
        </w:r>
      </w:hyperlink>
      <w:r w:rsidDel="00000000" w:rsidR="00000000" w:rsidRPr="00000000">
        <w:rPr>
          <w:rFonts w:ascii="Calibri" w:cs="Calibri" w:eastAsia="Calibri" w:hAnsi="Calibri"/>
          <w:rtl w:val="0"/>
        </w:rPr>
        <w:t xml:space="preserv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bogota.diplo.de/contentblob/1720444/Daten/6199323/downlInformacionMicroproyectos.pdf" TargetMode="External"/></Relationships>
</file>